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left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 xml:space="preserve">YUNVEI 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SK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-25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系列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音箱规格参数</w:t>
      </w: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此系列音箱具备的灵敏度，频率响应和功率，适用于大多专业音频环境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多个吊点保证了音箱可以多角度使用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高品质单元的选用保证了大声压级状态下声音不失真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精确的分频调教使得语言清晰易懂，饱满自然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厅堂扩声系统主扩声,大会议厅，多功能厅,台唇补声，酒店，现场演出等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Features: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The sensitivity, frequency response and power of this series of speakers are suitable for most professional audio environments.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Multiple lifting points ensure that the speaker can be used at multiple angles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The selection of high-quality units ensures that the sound is not distorted in the state of loud sound pressure.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Accurate crossover tuning makes the language clear and understandable, full of nature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419100</wp:posOffset>
            </wp:positionV>
            <wp:extent cx="1246505" cy="2795905"/>
            <wp:effectExtent l="0" t="0" r="3175" b="8255"/>
            <wp:wrapNone/>
            <wp:docPr id="3" name="图片 3" descr="SK-25中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-25中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Hall sound reinforcement system main sound reinforcement, large conference hall, multi-function hall, table lip fill sound, hotel, live performance,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SK-25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产品参数Parameters：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 xml:space="preserve">单元组成：LF2x 15"  HF1x 3"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标称阻抗 Nominal Impedance: 4Ω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额定功率 Power Handling: 900W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频率响应 Frequency Range (+/-3 dB):45Hz -18kHz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辐射角度 Dispersion(-6 dB): H x V 80°x 50°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灵敏度 Sensitivity: 101dB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最大声压级：Maximum Peak SPL: 133dB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连接插座Connection:2x Speakon NL4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音箱尺寸Product dimensions(WxDxH):550x550x1109mm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107315</wp:posOffset>
            </wp:positionV>
            <wp:extent cx="3271520" cy="2459355"/>
            <wp:effectExtent l="0" t="0" r="5080" b="952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152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净重N.W:49KG</w:t>
      </w: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70DF7"/>
    <w:rsid w:val="67BF434F"/>
    <w:rsid w:val="746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2019-10-25T05:56:00Z</dcterms:created>
  <dc:creator>群姐姐</dc:creator>
  <cp:lastModifiedBy>群姐姐</cp:lastModifiedBy>
  <dcterms:modified xsi:type="dcterms:W3CDTF">2019-10-25T05:58:09Z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